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832A0" w14:textId="5128E8BF" w:rsidR="00A2195A" w:rsidRPr="00460EF9" w:rsidRDefault="00A2195A" w:rsidP="00460EF9">
      <w:pPr>
        <w:pStyle w:val="Title"/>
        <w:jc w:val="center"/>
        <w:rPr>
          <w:b/>
        </w:rPr>
      </w:pPr>
      <w:r w:rsidRPr="00460EF9">
        <w:rPr>
          <w:b/>
        </w:rPr>
        <w:t>Emergency Response</w:t>
      </w:r>
      <w:r w:rsidR="00460EF9" w:rsidRPr="00460EF9">
        <w:rPr>
          <w:b/>
        </w:rPr>
        <w:t xml:space="preserve"> CDBG</w:t>
      </w:r>
      <w:r w:rsidRPr="00460EF9">
        <w:rPr>
          <w:b/>
        </w:rPr>
        <w:t xml:space="preserve"> Funding Guide</w:t>
      </w:r>
    </w:p>
    <w:p w14:paraId="4ECEF77A" w14:textId="196B1C12" w:rsidR="00A2195A" w:rsidRDefault="00A2195A" w:rsidP="00A2195A">
      <w:r>
        <w:t>This guide is designed to assist communities in preparing to be potentially eligible for funding costs associated with recovery and cleanup after a natural disaster.  While not comprehensive, it outlines basic steps, including paperwork and documentation, which will maximize your community’s chance fo</w:t>
      </w:r>
      <w:r w:rsidR="003E3B41">
        <w:t>r recouping some of these costs through CDBG’s emergency grant program.</w:t>
      </w:r>
    </w:p>
    <w:p w14:paraId="20834B73" w14:textId="4FE3483B" w:rsidR="004A723F" w:rsidRDefault="00A2195A" w:rsidP="00A2195A">
      <w:r>
        <w:t>Time is of the essence in responding to events that affect critical facilities and impact citizens’ health and safety.  This guide should be consulted as early as possible</w:t>
      </w:r>
      <w:r w:rsidR="003E3B41">
        <w:t xml:space="preserve"> to maximize potential reimbursement.</w:t>
      </w:r>
    </w:p>
    <w:p w14:paraId="093E20BE" w14:textId="42AC2B08" w:rsidR="00A2195A" w:rsidRPr="00460EF9" w:rsidRDefault="00A2195A" w:rsidP="00460EF9">
      <w:pPr>
        <w:pStyle w:val="Heading1"/>
      </w:pPr>
      <w:r w:rsidRPr="00460EF9">
        <w:t xml:space="preserve">Step 1:  </w:t>
      </w:r>
      <w:r w:rsidR="003E3B41" w:rsidRPr="00460EF9">
        <w:t xml:space="preserve">ONLY </w:t>
      </w:r>
      <w:r w:rsidRPr="00460EF9">
        <w:t xml:space="preserve">act </w:t>
      </w:r>
      <w:r w:rsidR="00C1306F" w:rsidRPr="00460EF9">
        <w:t>on</w:t>
      </w:r>
      <w:r w:rsidRPr="00460EF9">
        <w:t xml:space="preserve"> the most immediate threats</w:t>
      </w:r>
    </w:p>
    <w:p w14:paraId="085F0980" w14:textId="09E361A1" w:rsidR="00321B16" w:rsidRDefault="00460EF9" w:rsidP="00A2195A">
      <w:r>
        <w:rPr>
          <w:noProof/>
        </w:rPr>
        <mc:AlternateContent>
          <mc:Choice Requires="wps">
            <w:drawing>
              <wp:anchor distT="0" distB="0" distL="114300" distR="114300" simplePos="0" relativeHeight="251659264" behindDoc="1" locked="0" layoutInCell="1" allowOverlap="1" wp14:anchorId="71E41D8D" wp14:editId="7119B91D">
                <wp:simplePos x="0" y="0"/>
                <wp:positionH relativeFrom="margin">
                  <wp:posOffset>-9525</wp:posOffset>
                </wp:positionH>
                <wp:positionV relativeFrom="paragraph">
                  <wp:posOffset>654050</wp:posOffset>
                </wp:positionV>
                <wp:extent cx="5943600" cy="45720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5943600" cy="457200"/>
                        </a:xfrm>
                        <a:prstGeom prst="rect">
                          <a:avLst/>
                        </a:prstGeom>
                        <a:solidFill>
                          <a:srgbClr val="0D57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A9A9D8" w14:textId="77777777" w:rsidR="00460EF9" w:rsidRPr="00460EF9" w:rsidRDefault="00460EF9" w:rsidP="00460EF9">
                            <w:pPr>
                              <w:jc w:val="center"/>
                              <w:rPr>
                                <w:color w:val="852B20"/>
                              </w:rPr>
                            </w:pPr>
                            <w:r>
                              <w:rPr>
                                <w:b/>
                              </w:rPr>
                              <w:t>REMEMBER: D</w:t>
                            </w:r>
                            <w:r w:rsidRPr="00A2195A">
                              <w:rPr>
                                <w:b/>
                              </w:rPr>
                              <w:t>elaying activities by a few hours has the potential to make thousands more dollars eligible for reimbursement</w:t>
                            </w:r>
                            <w:r>
                              <w:rPr>
                                <w:b/>
                              </w:rPr>
                              <w:t xml:space="preserve"> through this program.</w:t>
                            </w:r>
                          </w:p>
                          <w:p w14:paraId="7E042CAE" w14:textId="77777777" w:rsidR="00460EF9" w:rsidRDefault="00460EF9" w:rsidP="00460E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41D8D" id="Rectangle 4" o:spid="_x0000_s1026" style="position:absolute;margin-left:-.75pt;margin-top:51.5pt;width:468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" fillcolor="#0d577d" stroked="f" strokeweight="1pt">
                <v:textbox>
                  <w:txbxContent>
                    <w:p w14:paraId="1EA9A9D8" w14:textId="77777777" w:rsidR="00460EF9" w:rsidRPr="00460EF9" w:rsidRDefault="00460EF9" w:rsidP="00460EF9">
                      <w:pPr>
                        <w:jc w:val="center"/>
                        <w:rPr>
                          <w:color w:val="852B20"/>
                        </w:rPr>
                      </w:pPr>
                      <w:r>
                        <w:rPr>
                          <w:b/>
                        </w:rPr>
                        <w:t>REMEMBER: D</w:t>
                      </w:r>
                      <w:r w:rsidRPr="00A2195A">
                        <w:rPr>
                          <w:b/>
                        </w:rPr>
                        <w:t>elaying activities by a few hours has the potential to make thousands more dollars eligible for reimbursement</w:t>
                      </w:r>
                      <w:r>
                        <w:rPr>
                          <w:b/>
                        </w:rPr>
                        <w:t xml:space="preserve"> through this program.</w:t>
                      </w:r>
                    </w:p>
                    <w:p w14:paraId="7E042CAE" w14:textId="77777777" w:rsidR="00460EF9" w:rsidRDefault="00460EF9" w:rsidP="00460EF9">
                      <w:pPr>
                        <w:jc w:val="center"/>
                      </w:pPr>
                    </w:p>
                  </w:txbxContent>
                </v:textbox>
                <w10:wrap type="square" anchorx="margin"/>
              </v:rect>
            </w:pict>
          </mc:Fallback>
        </mc:AlternateContent>
      </w:r>
      <w:r w:rsidR="00A2195A">
        <w:t>While it’s difficult to justify delaying emergency response times, it’s important to understand that any work done prior to the submission of CDBG’s Finding of Exemption</w:t>
      </w:r>
      <w:r w:rsidR="00C1306F">
        <w:t xml:space="preserve"> (FOE)</w:t>
      </w:r>
      <w:r w:rsidR="00A2195A">
        <w:t xml:space="preserve"> form will not be eligible for reimbursement, but may count as in-kind match. </w:t>
      </w:r>
    </w:p>
    <w:p w14:paraId="43DB8579" w14:textId="5B28B457" w:rsidR="00A2195A" w:rsidRDefault="00A2195A" w:rsidP="00460EF9">
      <w:pPr>
        <w:pStyle w:val="Heading1"/>
      </w:pPr>
      <w:r>
        <w:t xml:space="preserve">Step 2: </w:t>
      </w:r>
      <w:bookmarkStart w:id="0" w:name="_GoBack"/>
      <w:r>
        <w:t>Send SMCOG documentation to complete Finding of Exemption</w:t>
      </w:r>
      <w:bookmarkEnd w:id="0"/>
    </w:p>
    <w:p w14:paraId="090F5989" w14:textId="3504C0E3" w:rsidR="00A2195A" w:rsidRDefault="00A2195A" w:rsidP="00460EF9">
      <w:pPr>
        <w:spacing w:after="0"/>
      </w:pPr>
      <w:r>
        <w:t xml:space="preserve">CDBG has streamlined the environmental review process to be completed in a few hours, based on the immediate nature of emergencies.  SMCOG can provide </w:t>
      </w:r>
      <w:r w:rsidR="00C1306F">
        <w:t xml:space="preserve">the service of completing the FOE form </w:t>
      </w:r>
      <w:r>
        <w:t xml:space="preserve">for your jurisdiction, </w:t>
      </w:r>
      <w:r w:rsidR="00C1306F">
        <w:t>provided</w:t>
      </w:r>
      <w:r>
        <w:t xml:space="preserve"> the following information:</w:t>
      </w:r>
    </w:p>
    <w:p w14:paraId="612014AE" w14:textId="376610A0" w:rsidR="00A2195A" w:rsidRDefault="00A2195A" w:rsidP="00A2195A">
      <w:pPr>
        <w:pStyle w:val="ListParagraph"/>
        <w:numPr>
          <w:ilvl w:val="0"/>
          <w:numId w:val="1"/>
        </w:numPr>
      </w:pPr>
      <w:r w:rsidRPr="00460EF9">
        <w:rPr>
          <w:b/>
        </w:rPr>
        <w:t>Project Description:</w:t>
      </w:r>
      <w:r>
        <w:t xml:space="preserve">  This should clearly explain all cleanup/recovery activities that are expected to be involved with the project, which may include debris removal, re-hanging utility lines, </w:t>
      </w:r>
      <w:r w:rsidR="00C1306F">
        <w:t>backfill/seeding, etc.</w:t>
      </w:r>
    </w:p>
    <w:p w14:paraId="633DFBBE" w14:textId="5D56CD48" w:rsidR="00C1306F" w:rsidRDefault="004A723F" w:rsidP="00A2195A">
      <w:pPr>
        <w:pStyle w:val="ListParagraph"/>
        <w:numPr>
          <w:ilvl w:val="0"/>
          <w:numId w:val="1"/>
        </w:numPr>
      </w:pPr>
      <w:r>
        <w:rPr>
          <w:noProof/>
        </w:rPr>
        <mc:AlternateContent>
          <mc:Choice Requires="wps">
            <w:drawing>
              <wp:anchor distT="0" distB="0" distL="114300" distR="114300" simplePos="0" relativeHeight="251661312" behindDoc="1" locked="0" layoutInCell="1" allowOverlap="1" wp14:anchorId="0610EF85" wp14:editId="660E38CB">
                <wp:simplePos x="0" y="0"/>
                <wp:positionH relativeFrom="margin">
                  <wp:align>right</wp:align>
                </wp:positionH>
                <wp:positionV relativeFrom="paragraph">
                  <wp:posOffset>879475</wp:posOffset>
                </wp:positionV>
                <wp:extent cx="5943600" cy="45720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5943600" cy="457200"/>
                        </a:xfrm>
                        <a:prstGeom prst="rect">
                          <a:avLst/>
                        </a:prstGeom>
                        <a:solidFill>
                          <a:srgbClr val="852B2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5E8BDA" w14:textId="008F7966" w:rsidR="004A723F" w:rsidRPr="00460EF9" w:rsidRDefault="004A723F" w:rsidP="004A723F">
                            <w:pPr>
                              <w:jc w:val="center"/>
                              <w:rPr>
                                <w:color w:val="852B20"/>
                              </w:rPr>
                            </w:pPr>
                            <w:r>
                              <w:rPr>
                                <w:b/>
                              </w:rPr>
                              <w:t>NOTE</w:t>
                            </w:r>
                            <w:r>
                              <w:rPr>
                                <w:b/>
                              </w:rPr>
                              <w:t xml:space="preserve">: </w:t>
                            </w:r>
                            <w:r>
                              <w:rPr>
                                <w:b/>
                              </w:rPr>
                              <w:t>This form is NOT an application for funding and does NOT guaranty any or all of your costs will be reimbursed.</w:t>
                            </w:r>
                          </w:p>
                          <w:p w14:paraId="7127FB1D" w14:textId="77777777" w:rsidR="004A723F" w:rsidRDefault="004A723F" w:rsidP="004A72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0EF85" id="Rectangle 5" o:spid="_x0000_s1027" style="position:absolute;left:0;text-align:left;margin-left:416.8pt;margin-top:69.25pt;width:468pt;height:3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" fillcolor="#852b20" stroked="f" strokeweight="1pt">
                <v:textbox>
                  <w:txbxContent>
                    <w:p w14:paraId="275E8BDA" w14:textId="008F7966" w:rsidR="004A723F" w:rsidRPr="00460EF9" w:rsidRDefault="004A723F" w:rsidP="004A723F">
                      <w:pPr>
                        <w:jc w:val="center"/>
                        <w:rPr>
                          <w:color w:val="852B20"/>
                        </w:rPr>
                      </w:pPr>
                      <w:r>
                        <w:rPr>
                          <w:b/>
                        </w:rPr>
                        <w:t>NOTE</w:t>
                      </w:r>
                      <w:r>
                        <w:rPr>
                          <w:b/>
                        </w:rPr>
                        <w:t xml:space="preserve">: </w:t>
                      </w:r>
                      <w:r>
                        <w:rPr>
                          <w:b/>
                        </w:rPr>
                        <w:t>This form is NOT an application for funding and does NOT guaranty any or all of your costs will be reimbursed.</w:t>
                      </w:r>
                    </w:p>
                    <w:p w14:paraId="7127FB1D" w14:textId="77777777" w:rsidR="004A723F" w:rsidRDefault="004A723F" w:rsidP="004A723F">
                      <w:pPr>
                        <w:jc w:val="center"/>
                      </w:pPr>
                    </w:p>
                  </w:txbxContent>
                </v:textbox>
                <w10:wrap type="square" anchorx="margin"/>
              </v:rect>
            </w:pict>
          </mc:Fallback>
        </mc:AlternateContent>
      </w:r>
      <w:r w:rsidR="00C1306F" w:rsidRPr="00460EF9">
        <w:rPr>
          <w:b/>
        </w:rPr>
        <w:t>Project Location:</w:t>
      </w:r>
      <w:r w:rsidR="00C1306F">
        <w:t xml:space="preserve">  A map should be provided to indicate where each type of recovery activity is going to occur.  The more details that can be provided, the faster your FOE form may be submitted.  These maps may be as simple as Google screenshots with hand-drawn notes on them indicating the location(s) of each activity.</w:t>
      </w:r>
    </w:p>
    <w:p w14:paraId="16E32214" w14:textId="52206C48" w:rsidR="00C1306F" w:rsidRDefault="00C1306F" w:rsidP="00460EF9">
      <w:pPr>
        <w:pStyle w:val="Heading1"/>
      </w:pPr>
      <w:r>
        <w:t>Step 3:  Receive Notice of Submission from SMCOG and begin activities</w:t>
      </w:r>
    </w:p>
    <w:p w14:paraId="4AC8B1B5" w14:textId="1B7C2B70" w:rsidR="00C1306F" w:rsidRDefault="00C1306F" w:rsidP="00460EF9">
      <w:pPr>
        <w:spacing w:after="0"/>
      </w:pPr>
      <w:r>
        <w:t>Once the FOE form has been submitted, SMCOG will send you a notice that activities may begin.  Make sure to maintain documentation of all activities and expenses associated with cleanup.  The attachments in this packet will help to track these items, including:</w:t>
      </w:r>
    </w:p>
    <w:p w14:paraId="059B1B04" w14:textId="53B440EF" w:rsidR="00C1306F" w:rsidRDefault="00C1306F" w:rsidP="00C1306F">
      <w:pPr>
        <w:pStyle w:val="ListParagraph"/>
        <w:numPr>
          <w:ilvl w:val="0"/>
          <w:numId w:val="1"/>
        </w:numPr>
      </w:pPr>
      <w:r>
        <w:lastRenderedPageBreak/>
        <w:t>The Event Expenses spreadsheet should be used to document all invoices received from third-party companies.  Your jurisdiction should only complete the date of invoice, invoice number, firm name, and invoice amount columns.</w:t>
      </w:r>
    </w:p>
    <w:p w14:paraId="452BFFCB" w14:textId="249B0442" w:rsidR="00C1306F" w:rsidRDefault="00C1306F" w:rsidP="00C1306F">
      <w:pPr>
        <w:pStyle w:val="ListParagraph"/>
        <w:numPr>
          <w:ilvl w:val="0"/>
          <w:numId w:val="1"/>
        </w:numPr>
      </w:pPr>
      <w:r>
        <w:t>The In-Kind timesheet should be used to document any time volunteers contribute to the cleanup</w:t>
      </w:r>
    </w:p>
    <w:p w14:paraId="69FF1B69" w14:textId="4EC66DB4" w:rsidR="00D03F96" w:rsidRDefault="00D03F96" w:rsidP="00460EF9">
      <w:pPr>
        <w:pStyle w:val="Heading1"/>
      </w:pPr>
      <w:r>
        <w:t>Step 4:  Understand eligible versus ineligible expenses</w:t>
      </w:r>
    </w:p>
    <w:p w14:paraId="2D6B6E67" w14:textId="756760EC" w:rsidR="00D03F96" w:rsidRDefault="00D03F96" w:rsidP="00460EF9">
      <w:pPr>
        <w:spacing w:after="0"/>
      </w:pPr>
      <w:r>
        <w:t xml:space="preserve">The CDBG program is not set up to reimburse communities with every expense they incur.  It’s important to understand what may or may not be considered eligible expenses, </w:t>
      </w:r>
      <w:r w:rsidRPr="004A723F">
        <w:rPr>
          <w:u w:val="single"/>
        </w:rPr>
        <w:t xml:space="preserve">which is ultimately up to CDBG staff’s </w:t>
      </w:r>
      <w:r w:rsidR="004A723F">
        <w:rPr>
          <w:u w:val="single"/>
        </w:rPr>
        <w:t>discretion</w:t>
      </w:r>
      <w:r>
        <w:t>.  The table below identifies a non-comprehensive list of some expenses that typically are or are not eligible.</w:t>
      </w:r>
    </w:p>
    <w:tbl>
      <w:tblPr>
        <w:tblStyle w:val="GridTable5Dark-Accent5"/>
        <w:tblW w:w="0" w:type="auto"/>
        <w:tblLook w:val="04A0" w:firstRow="1" w:lastRow="0" w:firstColumn="1" w:lastColumn="0" w:noHBand="0" w:noVBand="1"/>
      </w:tblPr>
      <w:tblGrid>
        <w:gridCol w:w="1345"/>
        <w:gridCol w:w="3453"/>
        <w:gridCol w:w="2417"/>
        <w:gridCol w:w="2135"/>
      </w:tblGrid>
      <w:tr w:rsidR="00D03F96" w14:paraId="695E7A81" w14:textId="55391554" w:rsidTr="004A7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0D577D"/>
            <w:vAlign w:val="center"/>
          </w:tcPr>
          <w:p w14:paraId="1C31CF0D" w14:textId="42FA8872" w:rsidR="00D03F96" w:rsidRDefault="00D03F96" w:rsidP="004A723F">
            <w:pPr>
              <w:spacing w:after="0"/>
              <w:jc w:val="center"/>
            </w:pPr>
            <w:r>
              <w:t>Type of Activity</w:t>
            </w:r>
          </w:p>
        </w:tc>
        <w:tc>
          <w:tcPr>
            <w:tcW w:w="3453" w:type="dxa"/>
            <w:shd w:val="clear" w:color="auto" w:fill="0D577D"/>
            <w:vAlign w:val="center"/>
          </w:tcPr>
          <w:p w14:paraId="3DE0F226" w14:textId="5075D8EF" w:rsidR="00D03F96" w:rsidRDefault="00D03F96" w:rsidP="004A723F">
            <w:pPr>
              <w:spacing w:after="0"/>
              <w:jc w:val="center"/>
              <w:cnfStyle w:val="100000000000" w:firstRow="1" w:lastRow="0" w:firstColumn="0" w:lastColumn="0" w:oddVBand="0" w:evenVBand="0" w:oddHBand="0" w:evenHBand="0" w:firstRowFirstColumn="0" w:firstRowLastColumn="0" w:lastRowFirstColumn="0" w:lastRowLastColumn="0"/>
            </w:pPr>
            <w:r>
              <w:t>Eligible</w:t>
            </w:r>
            <w:r w:rsidR="004A723F">
              <w:t xml:space="preserve"> Expenses</w:t>
            </w:r>
          </w:p>
        </w:tc>
        <w:tc>
          <w:tcPr>
            <w:tcW w:w="2417" w:type="dxa"/>
            <w:shd w:val="clear" w:color="auto" w:fill="0D577D"/>
            <w:vAlign w:val="center"/>
          </w:tcPr>
          <w:p w14:paraId="79B68021" w14:textId="4A0F2FC8" w:rsidR="00D03F96" w:rsidRDefault="00D03F96" w:rsidP="004A723F">
            <w:pPr>
              <w:spacing w:after="0"/>
              <w:jc w:val="center"/>
              <w:cnfStyle w:val="100000000000" w:firstRow="1" w:lastRow="0" w:firstColumn="0" w:lastColumn="0" w:oddVBand="0" w:evenVBand="0" w:oddHBand="0" w:evenHBand="0" w:firstRowFirstColumn="0" w:firstRowLastColumn="0" w:lastRowFirstColumn="0" w:lastRowLastColumn="0"/>
            </w:pPr>
            <w:r>
              <w:t>Ineligible</w:t>
            </w:r>
            <w:r w:rsidR="004A723F">
              <w:t xml:space="preserve"> Expenses</w:t>
            </w:r>
          </w:p>
        </w:tc>
        <w:tc>
          <w:tcPr>
            <w:tcW w:w="2135" w:type="dxa"/>
            <w:shd w:val="clear" w:color="auto" w:fill="0D577D"/>
            <w:vAlign w:val="center"/>
          </w:tcPr>
          <w:p w14:paraId="09F4188D" w14:textId="4495326C" w:rsidR="00D03F96" w:rsidRDefault="00D03F96" w:rsidP="004A723F">
            <w:pPr>
              <w:spacing w:after="0"/>
              <w:jc w:val="center"/>
              <w:cnfStyle w:val="100000000000" w:firstRow="1" w:lastRow="0" w:firstColumn="0" w:lastColumn="0" w:oddVBand="0" w:evenVBand="0" w:oddHBand="0" w:evenHBand="0" w:firstRowFirstColumn="0" w:firstRowLastColumn="0" w:lastRowFirstColumn="0" w:lastRowLastColumn="0"/>
            </w:pPr>
            <w:r>
              <w:t>Documentation</w:t>
            </w:r>
          </w:p>
        </w:tc>
      </w:tr>
      <w:tr w:rsidR="00D03F96" w14:paraId="03574212" w14:textId="745E9550" w:rsidTr="00460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0D577D"/>
          </w:tcPr>
          <w:p w14:paraId="688EA544" w14:textId="2EE3CD36" w:rsidR="00D03F96" w:rsidRDefault="00D03F96" w:rsidP="00D03F96">
            <w:pPr>
              <w:spacing w:after="0"/>
            </w:pPr>
            <w:r>
              <w:t>Personnel</w:t>
            </w:r>
          </w:p>
        </w:tc>
        <w:tc>
          <w:tcPr>
            <w:tcW w:w="3453" w:type="dxa"/>
            <w:shd w:val="clear" w:color="auto" w:fill="auto"/>
          </w:tcPr>
          <w:p w14:paraId="0E251BB6" w14:textId="2C4DB0C5" w:rsidR="00D03F96" w:rsidRDefault="00D03F96" w:rsidP="00D03F96">
            <w:pPr>
              <w:pStyle w:val="ListParagraph"/>
              <w:numPr>
                <w:ilvl w:val="0"/>
                <w:numId w:val="2"/>
              </w:numPr>
              <w:spacing w:after="0"/>
              <w:ind w:left="256"/>
              <w:cnfStyle w:val="000000100000" w:firstRow="0" w:lastRow="0" w:firstColumn="0" w:lastColumn="0" w:oddVBand="0" w:evenVBand="0" w:oddHBand="1" w:evenHBand="0" w:firstRowFirstColumn="0" w:firstRowLastColumn="0" w:lastRowFirstColumn="0" w:lastRowLastColumn="0"/>
            </w:pPr>
            <w:r>
              <w:t>Third-party employees</w:t>
            </w:r>
          </w:p>
          <w:p w14:paraId="43670BF4" w14:textId="0E47764B" w:rsidR="00D03F96" w:rsidRDefault="00D03F96" w:rsidP="00D03F96">
            <w:pPr>
              <w:pStyle w:val="ListParagraph"/>
              <w:numPr>
                <w:ilvl w:val="0"/>
                <w:numId w:val="2"/>
              </w:numPr>
              <w:spacing w:after="0"/>
              <w:ind w:left="256"/>
              <w:cnfStyle w:val="000000100000" w:firstRow="0" w:lastRow="0" w:firstColumn="0" w:lastColumn="0" w:oddVBand="0" w:evenVBand="0" w:oddHBand="1" w:evenHBand="0" w:firstRowFirstColumn="0" w:firstRowLastColumn="0" w:lastRowFirstColumn="0" w:lastRowLastColumn="0"/>
            </w:pPr>
            <w:r>
              <w:t>PT staff hired specifically for the event</w:t>
            </w:r>
          </w:p>
        </w:tc>
        <w:tc>
          <w:tcPr>
            <w:tcW w:w="2417" w:type="dxa"/>
            <w:shd w:val="clear" w:color="auto" w:fill="auto"/>
          </w:tcPr>
          <w:p w14:paraId="634258D8" w14:textId="100AC097" w:rsidR="00D03F96" w:rsidRDefault="00D03F96" w:rsidP="00D03F96">
            <w:pPr>
              <w:pStyle w:val="ListParagraph"/>
              <w:numPr>
                <w:ilvl w:val="0"/>
                <w:numId w:val="2"/>
              </w:numPr>
              <w:spacing w:after="0"/>
              <w:ind w:left="256"/>
              <w:cnfStyle w:val="000000100000" w:firstRow="0" w:lastRow="0" w:firstColumn="0" w:lastColumn="0" w:oddVBand="0" w:evenVBand="0" w:oddHBand="1" w:evenHBand="0" w:firstRowFirstColumn="0" w:firstRowLastColumn="0" w:lastRowFirstColumn="0" w:lastRowLastColumn="0"/>
            </w:pPr>
            <w:r>
              <w:t>Salaried or FT staff</w:t>
            </w:r>
          </w:p>
        </w:tc>
        <w:tc>
          <w:tcPr>
            <w:tcW w:w="2135" w:type="dxa"/>
            <w:shd w:val="clear" w:color="auto" w:fill="auto"/>
          </w:tcPr>
          <w:p w14:paraId="6B9311D3" w14:textId="03C88FAD" w:rsidR="00D03F96" w:rsidRDefault="00321B16" w:rsidP="00321B16">
            <w:pPr>
              <w:pStyle w:val="ListParagraph"/>
              <w:numPr>
                <w:ilvl w:val="0"/>
                <w:numId w:val="2"/>
              </w:numPr>
              <w:spacing w:after="0"/>
              <w:ind w:left="256"/>
              <w:cnfStyle w:val="000000100000" w:firstRow="0" w:lastRow="0" w:firstColumn="0" w:lastColumn="0" w:oddVBand="0" w:evenVBand="0" w:oddHBand="1" w:evenHBand="0" w:firstRowFirstColumn="0" w:firstRowLastColumn="0" w:lastRowFirstColumn="0" w:lastRowLastColumn="0"/>
            </w:pPr>
            <w:r>
              <w:t xml:space="preserve">Timesheets, </w:t>
            </w:r>
            <w:r w:rsidR="00D03F96">
              <w:t>hourly rates</w:t>
            </w:r>
            <w:r>
              <w:t>, &amp; invoices</w:t>
            </w:r>
          </w:p>
        </w:tc>
      </w:tr>
      <w:tr w:rsidR="00D03F96" w14:paraId="2B39EAA6" w14:textId="041FBDEC" w:rsidTr="00460EF9">
        <w:tc>
          <w:tcPr>
            <w:cnfStyle w:val="001000000000" w:firstRow="0" w:lastRow="0" w:firstColumn="1" w:lastColumn="0" w:oddVBand="0" w:evenVBand="0" w:oddHBand="0" w:evenHBand="0" w:firstRowFirstColumn="0" w:firstRowLastColumn="0" w:lastRowFirstColumn="0" w:lastRowLastColumn="0"/>
            <w:tcW w:w="1345" w:type="dxa"/>
            <w:shd w:val="clear" w:color="auto" w:fill="0D577D"/>
          </w:tcPr>
          <w:p w14:paraId="458E59B9" w14:textId="5C26B16D" w:rsidR="00D03F96" w:rsidRDefault="00321B16" w:rsidP="00D03F96">
            <w:pPr>
              <w:spacing w:after="0"/>
            </w:pPr>
            <w:r>
              <w:t>Equipment</w:t>
            </w:r>
          </w:p>
        </w:tc>
        <w:tc>
          <w:tcPr>
            <w:tcW w:w="3453" w:type="dxa"/>
          </w:tcPr>
          <w:p w14:paraId="0114D5FE" w14:textId="1B2E81AB" w:rsidR="00D03F96" w:rsidRDefault="00321B16" w:rsidP="00D03F96">
            <w:pPr>
              <w:pStyle w:val="ListParagraph"/>
              <w:numPr>
                <w:ilvl w:val="0"/>
                <w:numId w:val="2"/>
              </w:numPr>
              <w:spacing w:after="0"/>
              <w:ind w:left="256"/>
              <w:cnfStyle w:val="000000000000" w:firstRow="0" w:lastRow="0" w:firstColumn="0" w:lastColumn="0" w:oddVBand="0" w:evenVBand="0" w:oddHBand="0" w:evenHBand="0" w:firstRowFirstColumn="0" w:firstRowLastColumn="0" w:lastRowFirstColumn="0" w:lastRowLastColumn="0"/>
            </w:pPr>
            <w:r>
              <w:t>Equipment rental</w:t>
            </w:r>
          </w:p>
        </w:tc>
        <w:tc>
          <w:tcPr>
            <w:tcW w:w="2417" w:type="dxa"/>
          </w:tcPr>
          <w:p w14:paraId="17622534" w14:textId="67B51DC5" w:rsidR="00D03F96" w:rsidRDefault="00321B16" w:rsidP="00D03F96">
            <w:pPr>
              <w:pStyle w:val="ListParagraph"/>
              <w:numPr>
                <w:ilvl w:val="0"/>
                <w:numId w:val="2"/>
              </w:numPr>
              <w:spacing w:after="0"/>
              <w:ind w:left="256"/>
              <w:cnfStyle w:val="000000000000" w:firstRow="0" w:lastRow="0" w:firstColumn="0" w:lastColumn="0" w:oddVBand="0" w:evenVBand="0" w:oddHBand="0" w:evenHBand="0" w:firstRowFirstColumn="0" w:firstRowLastColumn="0" w:lastRowFirstColumn="0" w:lastRowLastColumn="0"/>
            </w:pPr>
            <w:r>
              <w:t>Vehicle purchases</w:t>
            </w:r>
          </w:p>
        </w:tc>
        <w:tc>
          <w:tcPr>
            <w:tcW w:w="2135" w:type="dxa"/>
          </w:tcPr>
          <w:p w14:paraId="50C5BA5C" w14:textId="72F3B8EF" w:rsidR="00D03F96" w:rsidRDefault="00321B16" w:rsidP="00D03F96">
            <w:pPr>
              <w:pStyle w:val="ListParagraph"/>
              <w:numPr>
                <w:ilvl w:val="0"/>
                <w:numId w:val="2"/>
              </w:numPr>
              <w:spacing w:after="0"/>
              <w:ind w:left="256"/>
              <w:cnfStyle w:val="000000000000" w:firstRow="0" w:lastRow="0" w:firstColumn="0" w:lastColumn="0" w:oddVBand="0" w:evenVBand="0" w:oddHBand="0" w:evenHBand="0" w:firstRowFirstColumn="0" w:firstRowLastColumn="0" w:lastRowFirstColumn="0" w:lastRowLastColumn="0"/>
            </w:pPr>
            <w:r>
              <w:t>Hourly rental rates &amp; invoice</w:t>
            </w:r>
          </w:p>
        </w:tc>
      </w:tr>
      <w:tr w:rsidR="00321B16" w14:paraId="3D5B3362" w14:textId="4C8B3B08" w:rsidTr="00460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0D577D"/>
          </w:tcPr>
          <w:p w14:paraId="67EBAE78" w14:textId="156A0FE3" w:rsidR="00321B16" w:rsidRDefault="00321B16" w:rsidP="00D03F96">
            <w:pPr>
              <w:spacing w:after="0"/>
            </w:pPr>
            <w:r>
              <w:t>Food &amp; Lodging</w:t>
            </w:r>
          </w:p>
        </w:tc>
        <w:tc>
          <w:tcPr>
            <w:tcW w:w="8005" w:type="dxa"/>
            <w:gridSpan w:val="3"/>
            <w:shd w:val="clear" w:color="auto" w:fill="auto"/>
            <w:vAlign w:val="center"/>
          </w:tcPr>
          <w:p w14:paraId="1464730E" w14:textId="186214D4" w:rsidR="00321B16" w:rsidRPr="00321B16" w:rsidRDefault="00321B16" w:rsidP="00321B16">
            <w:pPr>
              <w:spacing w:after="0"/>
              <w:jc w:val="center"/>
              <w:cnfStyle w:val="000000100000" w:firstRow="0" w:lastRow="0" w:firstColumn="0" w:lastColumn="0" w:oddVBand="0" w:evenVBand="0" w:oddHBand="1" w:evenHBand="0" w:firstRowFirstColumn="0" w:firstRowLastColumn="0" w:lastRowFirstColumn="0" w:lastRowLastColumn="0"/>
              <w:rPr>
                <w:b/>
              </w:rPr>
            </w:pPr>
            <w:r w:rsidRPr="00321B16">
              <w:rPr>
                <w:b/>
              </w:rPr>
              <w:t>All food and lodging costs are considered ineligible for reimbursement</w:t>
            </w:r>
            <w:r w:rsidR="00460EF9">
              <w:rPr>
                <w:b/>
              </w:rPr>
              <w:t>.</w:t>
            </w:r>
          </w:p>
        </w:tc>
      </w:tr>
      <w:tr w:rsidR="00D03F96" w14:paraId="3B426FBA" w14:textId="6C9EAF0F" w:rsidTr="00460EF9">
        <w:tc>
          <w:tcPr>
            <w:cnfStyle w:val="001000000000" w:firstRow="0" w:lastRow="0" w:firstColumn="1" w:lastColumn="0" w:oddVBand="0" w:evenVBand="0" w:oddHBand="0" w:evenHBand="0" w:firstRowFirstColumn="0" w:firstRowLastColumn="0" w:lastRowFirstColumn="0" w:lastRowLastColumn="0"/>
            <w:tcW w:w="1345" w:type="dxa"/>
            <w:shd w:val="clear" w:color="auto" w:fill="0D577D"/>
          </w:tcPr>
          <w:p w14:paraId="6ECF0E31" w14:textId="7D9BA4D3" w:rsidR="00D03F96" w:rsidRDefault="00321B16" w:rsidP="00D03F96">
            <w:pPr>
              <w:spacing w:after="0"/>
            </w:pPr>
            <w:r>
              <w:t>Materials</w:t>
            </w:r>
          </w:p>
        </w:tc>
        <w:tc>
          <w:tcPr>
            <w:tcW w:w="3453" w:type="dxa"/>
          </w:tcPr>
          <w:p w14:paraId="1860549B" w14:textId="558C8235" w:rsidR="00D03F96" w:rsidRDefault="00321B16" w:rsidP="004A723F">
            <w:pPr>
              <w:pStyle w:val="ListParagraph"/>
              <w:numPr>
                <w:ilvl w:val="0"/>
                <w:numId w:val="2"/>
              </w:numPr>
              <w:spacing w:after="0"/>
              <w:ind w:left="256"/>
              <w:cnfStyle w:val="000000000000" w:firstRow="0" w:lastRow="0" w:firstColumn="0" w:lastColumn="0" w:oddVBand="0" w:evenVBand="0" w:oddHBand="0" w:evenHBand="0" w:firstRowFirstColumn="0" w:firstRowLastColumn="0" w:lastRowFirstColumn="0" w:lastRowLastColumn="0"/>
            </w:pPr>
            <w:r>
              <w:t xml:space="preserve">Materials necessary for repair or </w:t>
            </w:r>
            <w:r w:rsidR="004A723F">
              <w:t>equivalent</w:t>
            </w:r>
            <w:r>
              <w:t xml:space="preserve"> replacement </w:t>
            </w:r>
            <w:r w:rsidR="004A723F">
              <w:t xml:space="preserve">necessary </w:t>
            </w:r>
            <w:r>
              <w:t>to restore services</w:t>
            </w:r>
          </w:p>
        </w:tc>
        <w:tc>
          <w:tcPr>
            <w:tcW w:w="2417" w:type="dxa"/>
          </w:tcPr>
          <w:p w14:paraId="429A79E0" w14:textId="5D35E74E" w:rsidR="00D03F96" w:rsidRDefault="00321B16" w:rsidP="004A723F">
            <w:pPr>
              <w:pStyle w:val="ListParagraph"/>
              <w:numPr>
                <w:ilvl w:val="0"/>
                <w:numId w:val="2"/>
              </w:numPr>
              <w:spacing w:after="0"/>
              <w:ind w:left="256"/>
              <w:cnfStyle w:val="000000000000" w:firstRow="0" w:lastRow="0" w:firstColumn="0" w:lastColumn="0" w:oddVBand="0" w:evenVBand="0" w:oddHBand="0" w:evenHBand="0" w:firstRowFirstColumn="0" w:firstRowLastColumn="0" w:lastRowFirstColumn="0" w:lastRowLastColumn="0"/>
            </w:pPr>
            <w:r>
              <w:t>Materials that result in an upgrade</w:t>
            </w:r>
            <w:r w:rsidR="004A723F">
              <w:t xml:space="preserve"> to capacity</w:t>
            </w:r>
            <w:r>
              <w:t xml:space="preserve"> </w:t>
            </w:r>
            <w:r w:rsidR="004A723F">
              <w:t>of</w:t>
            </w:r>
            <w:r>
              <w:t xml:space="preserve"> services</w:t>
            </w:r>
          </w:p>
        </w:tc>
        <w:tc>
          <w:tcPr>
            <w:tcW w:w="2135" w:type="dxa"/>
          </w:tcPr>
          <w:p w14:paraId="1EAEBD86" w14:textId="7D00BCEF" w:rsidR="00D03F96" w:rsidRDefault="00321B16" w:rsidP="00D03F96">
            <w:pPr>
              <w:pStyle w:val="ListParagraph"/>
              <w:numPr>
                <w:ilvl w:val="0"/>
                <w:numId w:val="2"/>
              </w:numPr>
              <w:spacing w:after="0"/>
              <w:ind w:left="256"/>
              <w:cnfStyle w:val="000000000000" w:firstRow="0" w:lastRow="0" w:firstColumn="0" w:lastColumn="0" w:oddVBand="0" w:evenVBand="0" w:oddHBand="0" w:evenHBand="0" w:firstRowFirstColumn="0" w:firstRowLastColumn="0" w:lastRowFirstColumn="0" w:lastRowLastColumn="0"/>
            </w:pPr>
            <w:r>
              <w:t>Itemized receipts and/or invoices</w:t>
            </w:r>
          </w:p>
        </w:tc>
      </w:tr>
    </w:tbl>
    <w:p w14:paraId="2687FC64" w14:textId="72677147" w:rsidR="00C1306F" w:rsidRDefault="00C1306F" w:rsidP="00460EF9">
      <w:pPr>
        <w:pStyle w:val="Heading1"/>
      </w:pPr>
      <w:r>
        <w:t>S</w:t>
      </w:r>
      <w:r w:rsidR="00321B16">
        <w:t>tep 5</w:t>
      </w:r>
      <w:r>
        <w:t>:  Schedule a meet</w:t>
      </w:r>
      <w:r w:rsidR="00460EF9">
        <w:t>ing</w:t>
      </w:r>
      <w:r>
        <w:t xml:space="preserve"> with SMCOG to begin the grant application </w:t>
      </w:r>
    </w:p>
    <w:p w14:paraId="5D6D3843" w14:textId="33A8B946" w:rsidR="00C1306F" w:rsidRDefault="00C1306F" w:rsidP="00460EF9">
      <w:pPr>
        <w:spacing w:after="0"/>
      </w:pPr>
      <w:r>
        <w:t>Once sufficient documentation has been acquired, SMCOG staff</w:t>
      </w:r>
      <w:r w:rsidR="004A723F">
        <w:t xml:space="preserve"> will confirm the projects eligibility with CDBG then set up a meeting with your jurisdiction</w:t>
      </w:r>
      <w:r>
        <w:t xml:space="preserve"> to apply for CDBG’s emergency grant program.  Please come to this meeting prepared with the following documents:</w:t>
      </w:r>
    </w:p>
    <w:p w14:paraId="64E6E061" w14:textId="54BD9C23" w:rsidR="00C1306F" w:rsidRDefault="003E3B41" w:rsidP="00C1306F">
      <w:pPr>
        <w:pStyle w:val="ListParagraph"/>
        <w:numPr>
          <w:ilvl w:val="0"/>
          <w:numId w:val="1"/>
        </w:numPr>
      </w:pPr>
      <w:r>
        <w:t>Jurisdiction’s l</w:t>
      </w:r>
      <w:r w:rsidR="00C1306F">
        <w:t>atest financial statement</w:t>
      </w:r>
    </w:p>
    <w:p w14:paraId="3605E05B" w14:textId="091BC42F" w:rsidR="00C1306F" w:rsidRDefault="00C1306F" w:rsidP="00C1306F">
      <w:pPr>
        <w:pStyle w:val="ListParagraph"/>
        <w:numPr>
          <w:ilvl w:val="0"/>
          <w:numId w:val="1"/>
        </w:numPr>
      </w:pPr>
      <w:r>
        <w:t>Copy of adopted Fair Housing and Excessive Force ordinances (templates</w:t>
      </w:r>
      <w:r w:rsidR="003E3B41">
        <w:t xml:space="preserve"> for adoption</w:t>
      </w:r>
      <w:r>
        <w:t xml:space="preserve"> may be obtained by contacting SMCOG)</w:t>
      </w:r>
    </w:p>
    <w:p w14:paraId="0941EDE8" w14:textId="41915D34" w:rsidR="003E3B41" w:rsidRDefault="003E3B41" w:rsidP="00C1306F">
      <w:pPr>
        <w:pStyle w:val="ListParagraph"/>
        <w:numPr>
          <w:ilvl w:val="0"/>
          <w:numId w:val="1"/>
        </w:numPr>
      </w:pPr>
      <w:r>
        <w:t>Letters of support from state senator and representative</w:t>
      </w:r>
    </w:p>
    <w:p w14:paraId="00B17022" w14:textId="26835D6A" w:rsidR="003E3B41" w:rsidRDefault="003E3B41" w:rsidP="00C1306F">
      <w:pPr>
        <w:pStyle w:val="ListParagraph"/>
        <w:numPr>
          <w:ilvl w:val="0"/>
          <w:numId w:val="1"/>
        </w:numPr>
      </w:pPr>
      <w:r>
        <w:t>All documentation related to expenses for cleanup and recovery</w:t>
      </w:r>
    </w:p>
    <w:p w14:paraId="3C5EF041" w14:textId="17D09B09" w:rsidR="00C1306F" w:rsidRPr="00C1306F" w:rsidRDefault="003E3B41" w:rsidP="00C1306F">
      <w:pPr>
        <w:pStyle w:val="ListParagraph"/>
        <w:numPr>
          <w:ilvl w:val="0"/>
          <w:numId w:val="1"/>
        </w:numPr>
      </w:pPr>
      <w:r>
        <w:t>City Council/Board of Aldermen meeting dates for the next two months</w:t>
      </w:r>
    </w:p>
    <w:sectPr w:rsidR="00C1306F" w:rsidRPr="00C1306F" w:rsidSect="001334B4">
      <w:headerReference w:type="default" r:id="rId10"/>
      <w:footerReference w:type="default" r:id="rId11"/>
      <w:pgSz w:w="12240" w:h="15840"/>
      <w:pgMar w:top="1440" w:right="1440" w:bottom="1440" w:left="1440" w:header="24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C1D27" w14:textId="77777777" w:rsidR="00DF7878" w:rsidRDefault="00DF7878" w:rsidP="007F6FBD">
      <w:pPr>
        <w:spacing w:after="0" w:line="240" w:lineRule="auto"/>
      </w:pPr>
      <w:r>
        <w:separator/>
      </w:r>
    </w:p>
  </w:endnote>
  <w:endnote w:type="continuationSeparator" w:id="0">
    <w:p w14:paraId="1E9740EE" w14:textId="77777777" w:rsidR="00DF7878" w:rsidRDefault="00DF7878" w:rsidP="007F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C31D" w14:textId="77777777" w:rsidR="00A26C26" w:rsidRDefault="00A26C26">
    <w:pPr>
      <w:pStyle w:val="Footer"/>
    </w:pPr>
    <w:r>
      <w:rPr>
        <w:noProof/>
      </w:rPr>
      <w:drawing>
        <wp:anchor distT="0" distB="0" distL="114300" distR="114300" simplePos="0" relativeHeight="251660288" behindDoc="1" locked="0" layoutInCell="1" allowOverlap="1">
          <wp:simplePos x="0" y="0"/>
          <wp:positionH relativeFrom="column">
            <wp:posOffset>552884</wp:posOffset>
          </wp:positionH>
          <wp:positionV relativeFrom="paragraph">
            <wp:posOffset>-43815</wp:posOffset>
          </wp:positionV>
          <wp:extent cx="4704347" cy="828287"/>
          <wp:effectExtent l="0" t="0" r="1270" b="0"/>
          <wp:wrapNone/>
          <wp:docPr id="3" name="Picture 3" descr="C:\Users\Art2525\Downloads\SMCOG letterhead centered foo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2525\Downloads\SMCOG letterhead centered footer.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4347" cy="82828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611C3" w14:textId="77777777" w:rsidR="00DF7878" w:rsidRDefault="00DF7878" w:rsidP="007F6FBD">
      <w:pPr>
        <w:spacing w:after="0" w:line="240" w:lineRule="auto"/>
      </w:pPr>
      <w:r>
        <w:separator/>
      </w:r>
    </w:p>
  </w:footnote>
  <w:footnote w:type="continuationSeparator" w:id="0">
    <w:p w14:paraId="35D46B10" w14:textId="77777777" w:rsidR="00DF7878" w:rsidRDefault="00DF7878" w:rsidP="007F6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73B92" w14:textId="77777777" w:rsidR="007F6FBD" w:rsidRDefault="002112E0">
    <w:pPr>
      <w:pStyle w:val="Header"/>
      <w:rPr>
        <w:noProof/>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-1001061</wp:posOffset>
          </wp:positionV>
          <wp:extent cx="5943600" cy="12865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OG logo (horizontal with sloga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86510"/>
                  </a:xfrm>
                  <a:prstGeom prst="rect">
                    <a:avLst/>
                  </a:prstGeom>
                </pic:spPr>
              </pic:pic>
            </a:graphicData>
          </a:graphic>
        </wp:anchor>
      </w:drawing>
    </w:r>
  </w:p>
  <w:p w14:paraId="68451772" w14:textId="77777777" w:rsidR="007F6FBD" w:rsidRDefault="007F6FBD">
    <w:pPr>
      <w:pStyle w:val="Header"/>
    </w:pPr>
  </w:p>
  <w:p w14:paraId="3DA14E3A" w14:textId="77777777" w:rsidR="007F6FBD" w:rsidRDefault="00223B75">
    <w:pPr>
      <w:pStyle w:val="Header"/>
    </w:pPr>
    <w:r>
      <w:rPr>
        <w:noProof/>
      </w:rPr>
      <w:drawing>
        <wp:anchor distT="0" distB="0" distL="114300" distR="114300" simplePos="0" relativeHeight="251659264" behindDoc="0" locked="0" layoutInCell="1" allowOverlap="1">
          <wp:simplePos x="0" y="0"/>
          <wp:positionH relativeFrom="column">
            <wp:posOffset>484538</wp:posOffset>
          </wp:positionH>
          <wp:positionV relativeFrom="paragraph">
            <wp:posOffset>48895</wp:posOffset>
          </wp:positionV>
          <wp:extent cx="4944979" cy="87223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OG letterhead centered counties.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44979" cy="8722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B61"/>
    <w:multiLevelType w:val="hybridMultilevel"/>
    <w:tmpl w:val="185AB396"/>
    <w:lvl w:ilvl="0" w:tplc="BD8AC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C43E9"/>
    <w:multiLevelType w:val="hybridMultilevel"/>
    <w:tmpl w:val="34200650"/>
    <w:lvl w:ilvl="0" w:tplc="BD8AC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0C"/>
    <w:rsid w:val="0007500C"/>
    <w:rsid w:val="000C54CD"/>
    <w:rsid w:val="0012531B"/>
    <w:rsid w:val="001334B4"/>
    <w:rsid w:val="002112E0"/>
    <w:rsid w:val="00223B75"/>
    <w:rsid w:val="00275503"/>
    <w:rsid w:val="002E2C26"/>
    <w:rsid w:val="00321B16"/>
    <w:rsid w:val="003E3B41"/>
    <w:rsid w:val="00460EF9"/>
    <w:rsid w:val="004A723F"/>
    <w:rsid w:val="006358E9"/>
    <w:rsid w:val="007F6FBD"/>
    <w:rsid w:val="00A2195A"/>
    <w:rsid w:val="00A26C26"/>
    <w:rsid w:val="00C07FA2"/>
    <w:rsid w:val="00C1306F"/>
    <w:rsid w:val="00CB648A"/>
    <w:rsid w:val="00D03F96"/>
    <w:rsid w:val="00D872CA"/>
    <w:rsid w:val="00D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EE8E2B"/>
  <w15:chartTrackingRefBased/>
  <w15:docId w15:val="{23859088-E01C-4D43-B4BA-C1CC8C1D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E9"/>
    <w:pPr>
      <w:spacing w:after="200" w:line="276" w:lineRule="auto"/>
    </w:pPr>
  </w:style>
  <w:style w:type="paragraph" w:styleId="Heading1">
    <w:name w:val="heading 1"/>
    <w:basedOn w:val="Normal"/>
    <w:next w:val="Normal"/>
    <w:link w:val="Heading1Char"/>
    <w:uiPriority w:val="9"/>
    <w:qFormat/>
    <w:rsid w:val="00460EF9"/>
    <w:pPr>
      <w:keepNext/>
      <w:keepLines/>
      <w:spacing w:before="240" w:after="0"/>
      <w:outlineLvl w:val="0"/>
    </w:pPr>
    <w:rPr>
      <w:rFonts w:asciiTheme="majorHAnsi" w:eastAsiaTheme="majorEastAsia" w:hAnsiTheme="majorHAnsi" w:cstheme="majorBidi"/>
      <w:color w:val="0D577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00C"/>
    <w:rPr>
      <w:color w:val="0563C1" w:themeColor="hyperlink"/>
      <w:u w:val="single"/>
    </w:rPr>
  </w:style>
  <w:style w:type="paragraph" w:styleId="Header">
    <w:name w:val="header"/>
    <w:basedOn w:val="Normal"/>
    <w:link w:val="HeaderChar"/>
    <w:uiPriority w:val="99"/>
    <w:unhideWhenUsed/>
    <w:rsid w:val="007F6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FBD"/>
  </w:style>
  <w:style w:type="paragraph" w:styleId="Footer">
    <w:name w:val="footer"/>
    <w:basedOn w:val="Normal"/>
    <w:link w:val="FooterChar"/>
    <w:uiPriority w:val="99"/>
    <w:unhideWhenUsed/>
    <w:rsid w:val="007F6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FBD"/>
  </w:style>
  <w:style w:type="paragraph" w:styleId="BalloonText">
    <w:name w:val="Balloon Text"/>
    <w:basedOn w:val="Normal"/>
    <w:link w:val="BalloonTextChar"/>
    <w:uiPriority w:val="99"/>
    <w:semiHidden/>
    <w:unhideWhenUsed/>
    <w:rsid w:val="00133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B4"/>
    <w:rPr>
      <w:rFonts w:ascii="Segoe UI" w:hAnsi="Segoe UI" w:cs="Segoe UI"/>
      <w:sz w:val="18"/>
      <w:szCs w:val="18"/>
    </w:rPr>
  </w:style>
  <w:style w:type="paragraph" w:styleId="Title">
    <w:name w:val="Title"/>
    <w:basedOn w:val="Normal"/>
    <w:next w:val="Normal"/>
    <w:link w:val="TitleChar"/>
    <w:uiPriority w:val="10"/>
    <w:qFormat/>
    <w:rsid w:val="00A219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195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60EF9"/>
    <w:rPr>
      <w:rFonts w:asciiTheme="majorHAnsi" w:eastAsiaTheme="majorEastAsia" w:hAnsiTheme="majorHAnsi" w:cstheme="majorBidi"/>
      <w:color w:val="0D577D"/>
      <w:sz w:val="32"/>
      <w:szCs w:val="32"/>
    </w:rPr>
  </w:style>
  <w:style w:type="paragraph" w:styleId="ListParagraph">
    <w:name w:val="List Paragraph"/>
    <w:basedOn w:val="Normal"/>
    <w:uiPriority w:val="34"/>
    <w:qFormat/>
    <w:rsid w:val="00A2195A"/>
    <w:pPr>
      <w:ind w:left="720"/>
      <w:contextualSpacing/>
    </w:pPr>
  </w:style>
  <w:style w:type="table" w:styleId="TableGrid">
    <w:name w:val="Table Grid"/>
    <w:basedOn w:val="TableNormal"/>
    <w:uiPriority w:val="39"/>
    <w:rsid w:val="00D0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D03F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F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D03F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c7e428a-36ed-43eb-af89-dd01c348eb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491E47C586834F968DE3FC9EEE13A2" ma:contentTypeVersion="11" ma:contentTypeDescription="Create a new document." ma:contentTypeScope="" ma:versionID="1fa620824bb56a094f1b618e040ea4ec">
  <xsd:schema xmlns:xsd="http://www.w3.org/2001/XMLSchema" xmlns:xs="http://www.w3.org/2001/XMLSchema" xmlns:p="http://schemas.microsoft.com/office/2006/metadata/properties" xmlns:ns2="fb50f39b-5553-48ce-98a5-bd8bf2e381d5" xmlns:ns3="7c7e428a-36ed-43eb-af89-dd01c348ebfe" targetNamespace="http://schemas.microsoft.com/office/2006/metadata/properties" ma:root="true" ma:fieldsID="f56b81b2fa21a626f8626b8a1c69b73f" ns2:_="" ns3:_="">
    <xsd:import namespace="fb50f39b-5553-48ce-98a5-bd8bf2e381d5"/>
    <xsd:import namespace="7c7e428a-36ed-43eb-af89-dd01c348eb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0f39b-5553-48ce-98a5-bd8bf2e381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e428a-36ed-43eb-af89-dd01c348eb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DC0AF-722D-4751-A79A-303F133437F9}">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fb50f39b-5553-48ce-98a5-bd8bf2e381d5"/>
    <ds:schemaRef ds:uri="http://schemas.microsoft.com/office/infopath/2007/PartnerControls"/>
    <ds:schemaRef ds:uri="7c7e428a-36ed-43eb-af89-dd01c348ebfe"/>
    <ds:schemaRef ds:uri="http://www.w3.org/XML/1998/namespace"/>
  </ds:schemaRefs>
</ds:datastoreItem>
</file>

<file path=customXml/itemProps2.xml><?xml version="1.0" encoding="utf-8"?>
<ds:datastoreItem xmlns:ds="http://schemas.openxmlformats.org/officeDocument/2006/customXml" ds:itemID="{A3A61FB9-A255-4AD2-8C47-B21FFBBBC4A5}">
  <ds:schemaRefs>
    <ds:schemaRef ds:uri="http://schemas.microsoft.com/sharepoint/v3/contenttype/forms"/>
  </ds:schemaRefs>
</ds:datastoreItem>
</file>

<file path=customXml/itemProps3.xml><?xml version="1.0" encoding="utf-8"?>
<ds:datastoreItem xmlns:ds="http://schemas.openxmlformats.org/officeDocument/2006/customXml" ds:itemID="{69181007-F837-4A43-B38F-73AADC53B3E7}"/>
</file>

<file path=docProps/app.xml><?xml version="1.0" encoding="utf-8"?>
<Properties xmlns="http://schemas.openxmlformats.org/officeDocument/2006/extended-properties" xmlns:vt="http://schemas.openxmlformats.org/officeDocument/2006/docPropsVTypes">
  <Template>Normal</Template>
  <TotalTime>63</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Kjella M</dc:creator>
  <cp:keywords/>
  <dc:description/>
  <cp:lastModifiedBy>Jenson, Brandon L</cp:lastModifiedBy>
  <cp:revision>5</cp:revision>
  <cp:lastPrinted>2018-07-10T16:45:00Z</cp:lastPrinted>
  <dcterms:created xsi:type="dcterms:W3CDTF">2019-05-03T16:26:00Z</dcterms:created>
  <dcterms:modified xsi:type="dcterms:W3CDTF">2019-05-09T19:50:00Z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0x01010045491E47C586834F968DE3FC9EEE13A2</vt:lpwstr>
  </property>
</Properties>
</file>